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Bayerova 5, byt č. 44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Veveří;   </w:t>
      </w:r>
      <w:r>
        <w:rPr>
          <w:b/>
          <w:sz w:val="22"/>
          <w:szCs w:val="22"/>
        </w:rPr>
        <w:t>Parcelní číslo:</w:t>
      </w:r>
      <w:r>
        <w:t xml:space="preserve"> 1289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6. NP;   </w:t>
      </w:r>
      <w:r>
        <w:rPr>
          <w:b/>
          <w:sz w:val="22"/>
          <w:szCs w:val="22"/>
        </w:rPr>
        <w:t>Velikost:</w:t>
      </w:r>
      <w:r>
        <w:t xml:space="preserve"> 1+1;   </w:t>
      </w:r>
      <w:r>
        <w:rPr>
          <w:b/>
          <w:sz w:val="22"/>
          <w:szCs w:val="22"/>
        </w:rPr>
        <w:t>Plocha bytu:</w:t>
      </w:r>
      <w:r>
        <w:t xml:space="preserve"> cca 59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660 000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Stávající vstupní dveře a zárubně vybourat, osadit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  <w:r>
        <w:t xml:space="preserve"> Otvor mezi pokoji zazdít.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  <w:r>
        <w:t xml:space="preserve"> </w:t>
      </w:r>
      <w:bookmarkStart w:id="0" w:name="_GoBack"/>
      <w:bookmarkEnd w:id="0"/>
      <w:r>
        <w:t xml:space="preserve">Původní </w:t>
      </w:r>
      <w:r>
        <w:t xml:space="preserve">okna do společné chodby </w:t>
      </w:r>
      <w:r>
        <w:t>zazdít.</w:t>
      </w:r>
    </w:p>
    <w:p>
      <w:pPr>
        <w:pStyle w:val="Bezmezer"/>
        <w:numPr>
          <w:ilvl w:val="0"/>
          <w:numId w:val="4"/>
        </w:numPr>
      </w:pPr>
      <w:r>
        <w:t>Podlahové krytiny komplet nové, demontáž nepůvodních krytin, upravit podkladní vrstvy.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Byt je pod neobydlenou půdou, střechou - možnost vytvořit podhled se zateplením.</w:t>
      </w:r>
    </w:p>
    <w:p>
      <w:pPr>
        <w:pStyle w:val="Bezmezer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provést vyhodnocení ekonomičtější varianty z pohledu pořizovacích nákladů (etážové vytápění elektro nebo plynový kondenzační kotel vč. zásobníků na TUV), při vyhodnocení posuzovat související náklady </w:t>
      </w:r>
      <w:r>
        <w:lastRenderedPageBreak/>
        <w:t>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7D6108-14B7-4CCA-BA4D-AA69D4BF4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1627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3</cp:revision>
  <cp:lastPrinted>2016-12-15T07:03:00Z</cp:lastPrinted>
  <dcterms:created xsi:type="dcterms:W3CDTF">2020-11-24T06:42:00Z</dcterms:created>
  <dcterms:modified xsi:type="dcterms:W3CDTF">2020-11-24T06:49:00Z</dcterms:modified>
</cp:coreProperties>
</file>